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EB1731">
      <w:pPr>
        <w:keepNext w:val="0"/>
        <w:keepLines w:val="0"/>
        <w:pageBreakBefore w:val="0"/>
        <w:kinsoku/>
        <w:wordWrap/>
        <w:overflowPunct/>
        <w:topLinePunct w:val="0"/>
        <w:autoSpaceDE/>
        <w:bidi w:val="0"/>
        <w:snapToGrid w:val="0"/>
        <w:spacing w:line="54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Toc4695"/>
      <w:r>
        <w:rPr>
          <w:rFonts w:hint="eastAsia" w:ascii="方正小标宋简体" w:hAnsi="方正小标宋简体" w:eastAsia="方正小标宋简体" w:cs="方正小标宋简体"/>
          <w:sz w:val="44"/>
          <w:szCs w:val="44"/>
          <w:lang w:val="en-US" w:eastAsia="zh-CN"/>
        </w:rPr>
        <w:t>陀螺竞赛规程</w:t>
      </w:r>
      <w:bookmarkEnd w:id="0"/>
    </w:p>
    <w:p w14:paraId="097E04A5">
      <w:pPr>
        <w:keepNext w:val="0"/>
        <w:keepLines w:val="0"/>
        <w:pageBreakBefore w:val="0"/>
        <w:kinsoku/>
        <w:wordWrap/>
        <w:overflowPunct/>
        <w:topLinePunct w:val="0"/>
        <w:autoSpaceDE/>
        <w:bidi w:val="0"/>
        <w:snapToGrid w:val="0"/>
        <w:spacing w:line="540" w:lineRule="exact"/>
        <w:jc w:val="center"/>
        <w:textAlignment w:val="auto"/>
        <w:rPr>
          <w:rFonts w:hint="default" w:ascii="方正小标宋简体" w:hAnsi="方正小标宋简体" w:eastAsia="方正小标宋简体" w:cs="方正小标宋简体"/>
          <w:sz w:val="44"/>
          <w:szCs w:val="44"/>
          <w:lang w:val="en-US" w:eastAsia="zh-CN"/>
        </w:rPr>
      </w:pPr>
    </w:p>
    <w:p w14:paraId="7981F952">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textAlignment w:val="auto"/>
        <w:rPr>
          <w:rStyle w:val="11"/>
          <w:rFonts w:hint="eastAsia" w:ascii="黑体" w:hAnsi="黑体" w:eastAsia="黑体" w:cs="黑体"/>
          <w:b w:val="0"/>
          <w:bCs w:val="0"/>
          <w:color w:val="000000"/>
          <w:sz w:val="32"/>
          <w:szCs w:val="32"/>
          <w:lang w:val="en-US" w:eastAsia="zh-CN" w:bidi="ar-SA"/>
        </w:rPr>
      </w:pPr>
      <w:bookmarkStart w:id="1" w:name="_Toc30326"/>
      <w:r>
        <w:rPr>
          <w:rStyle w:val="11"/>
          <w:rFonts w:hint="eastAsia" w:ascii="黑体" w:hAnsi="黑体" w:eastAsia="黑体" w:cs="黑体"/>
          <w:b w:val="0"/>
          <w:bCs w:val="0"/>
          <w:color w:val="000000"/>
          <w:sz w:val="32"/>
          <w:szCs w:val="32"/>
          <w:lang w:val="en-US" w:eastAsia="zh-CN" w:bidi="ar-SA"/>
        </w:rPr>
        <w:t>一、竞赛日期和地点</w:t>
      </w:r>
      <w:bookmarkEnd w:id="1"/>
    </w:p>
    <w:p w14:paraId="3A6283D4">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日至1</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日在</w:t>
      </w:r>
      <w:r>
        <w:rPr>
          <w:rFonts w:hint="eastAsia" w:ascii="Times New Roman" w:hAnsi="Times New Roman" w:eastAsia="仿宋_GB2312" w:cs="Times New Roman"/>
          <w:sz w:val="32"/>
          <w:szCs w:val="32"/>
          <w:lang w:val="en-US" w:eastAsia="zh-CN"/>
        </w:rPr>
        <w:t>黄</w:t>
      </w:r>
      <w:r>
        <w:rPr>
          <w:rFonts w:hint="default" w:ascii="Times New Roman" w:hAnsi="Times New Roman" w:eastAsia="仿宋_GB2312" w:cs="Times New Roman"/>
          <w:sz w:val="32"/>
          <w:szCs w:val="32"/>
          <w:lang w:val="en-US" w:eastAsia="zh-CN"/>
        </w:rPr>
        <w:t>平县</w:t>
      </w:r>
      <w:r>
        <w:rPr>
          <w:rFonts w:hint="eastAsia" w:ascii="Times New Roman" w:hAnsi="Times New Roman" w:eastAsia="仿宋_GB2312" w:cs="Times New Roman"/>
          <w:sz w:val="32"/>
          <w:szCs w:val="32"/>
          <w:lang w:val="en-US" w:eastAsia="zh-CN"/>
        </w:rPr>
        <w:t>职校室外篮球场</w:t>
      </w:r>
      <w:r>
        <w:rPr>
          <w:rFonts w:hint="default" w:ascii="Times New Roman" w:hAnsi="Times New Roman" w:eastAsia="仿宋_GB2312" w:cs="Times New Roman"/>
          <w:sz w:val="32"/>
          <w:szCs w:val="32"/>
          <w:lang w:val="en-US" w:eastAsia="zh-CN"/>
        </w:rPr>
        <w:t>举行。</w:t>
      </w:r>
    </w:p>
    <w:p w14:paraId="0EB57AF7">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textAlignment w:val="auto"/>
        <w:rPr>
          <w:rStyle w:val="11"/>
          <w:rFonts w:hint="default" w:ascii="黑体" w:hAnsi="黑体" w:eastAsia="黑体" w:cs="黑体"/>
          <w:b w:val="0"/>
          <w:bCs w:val="0"/>
          <w:color w:val="000000"/>
          <w:sz w:val="32"/>
          <w:szCs w:val="32"/>
          <w:lang w:val="en-US" w:eastAsia="zh-CN" w:bidi="ar-SA"/>
        </w:rPr>
      </w:pPr>
      <w:bookmarkStart w:id="2" w:name="_Toc17590"/>
      <w:r>
        <w:rPr>
          <w:rStyle w:val="11"/>
          <w:rFonts w:hint="default" w:ascii="黑体" w:hAnsi="黑体" w:eastAsia="黑体" w:cs="黑体"/>
          <w:b w:val="0"/>
          <w:bCs w:val="0"/>
          <w:color w:val="000000"/>
          <w:sz w:val="32"/>
          <w:szCs w:val="32"/>
          <w:lang w:val="en-US" w:eastAsia="zh-CN" w:bidi="ar-SA"/>
        </w:rPr>
        <w:t>二、竞赛项目及组别</w:t>
      </w:r>
      <w:bookmarkEnd w:id="2"/>
    </w:p>
    <w:p w14:paraId="4195C13C">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男子团体、女子团体、男子个人、女子个人、男子双打、女子双打、混合双打</w:t>
      </w:r>
    </w:p>
    <w:p w14:paraId="232A6A61">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textAlignment w:val="auto"/>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三、运动员资格</w:t>
      </w:r>
    </w:p>
    <w:p w14:paraId="1D34D18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7C7C379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5455EC48">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textAlignment w:val="auto"/>
        <w:rPr>
          <w:rStyle w:val="11"/>
          <w:rFonts w:hint="default" w:ascii="黑体" w:hAnsi="黑体" w:eastAsia="黑体" w:cs="黑体"/>
          <w:b w:val="0"/>
          <w:bCs w:val="0"/>
          <w:color w:val="000000"/>
          <w:sz w:val="32"/>
          <w:szCs w:val="32"/>
          <w:lang w:val="en-US" w:eastAsia="zh-CN" w:bidi="ar-SA"/>
        </w:rPr>
      </w:pPr>
      <w:bookmarkStart w:id="3" w:name="_Toc3668"/>
      <w:r>
        <w:rPr>
          <w:rStyle w:val="11"/>
          <w:rFonts w:hint="eastAsia" w:ascii="黑体" w:hAnsi="黑体" w:eastAsia="黑体" w:cs="黑体"/>
          <w:b w:val="0"/>
          <w:bCs w:val="0"/>
          <w:color w:val="000000"/>
          <w:sz w:val="32"/>
          <w:szCs w:val="32"/>
          <w:lang w:val="en-US" w:eastAsia="zh-CN" w:bidi="ar-SA"/>
        </w:rPr>
        <w:t>四</w:t>
      </w:r>
      <w:r>
        <w:rPr>
          <w:rStyle w:val="11"/>
          <w:rFonts w:hint="default" w:ascii="黑体" w:hAnsi="黑体" w:eastAsia="黑体" w:cs="黑体"/>
          <w:b w:val="0"/>
          <w:bCs w:val="0"/>
          <w:color w:val="000000"/>
          <w:sz w:val="32"/>
          <w:szCs w:val="32"/>
          <w:lang w:val="en-US" w:eastAsia="zh-CN" w:bidi="ar-SA"/>
        </w:rPr>
        <w:t>、参加办法</w:t>
      </w:r>
      <w:bookmarkEnd w:id="3"/>
    </w:p>
    <w:p w14:paraId="22D280C9">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w:t>
      </w:r>
      <w:r>
        <w:rPr>
          <w:rFonts w:hint="eastAsia" w:ascii="Times New Roman" w:hAnsi="Times New Roman" w:eastAsia="仿宋_GB2312" w:cs="Times New Roman"/>
          <w:sz w:val="32"/>
          <w:szCs w:val="32"/>
          <w:lang w:val="en-US" w:eastAsia="zh-CN"/>
        </w:rPr>
        <w:t>以县（市）、州内各高校为单位组团参赛，行业系统和法人社团组织可单独组队参赛。</w:t>
      </w:r>
    </w:p>
    <w:p w14:paraId="7A8796C7">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（二）每个参赛单位限报一支代表队，每支代表队限报领队1人、教练员1人</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男</w:t>
      </w:r>
      <w:r>
        <w:rPr>
          <w:rFonts w:hint="eastAsia" w:ascii="Times New Roman" w:hAnsi="Times New Roman" w:eastAsia="仿宋_GB2312" w:cs="Times New Roman"/>
          <w:sz w:val="32"/>
          <w:szCs w:val="32"/>
          <w:lang w:val="en-US" w:eastAsia="zh-CN"/>
        </w:rPr>
        <w:t>运动员3人，</w:t>
      </w:r>
      <w:r>
        <w:rPr>
          <w:rFonts w:hint="default" w:ascii="Times New Roman" w:hAnsi="Times New Roman" w:eastAsia="仿宋_GB2312" w:cs="Times New Roman"/>
          <w:sz w:val="32"/>
          <w:szCs w:val="32"/>
          <w:lang w:val="en-US" w:eastAsia="zh-CN"/>
        </w:rPr>
        <w:t>女运动员3人</w:t>
      </w:r>
      <w:r>
        <w:rPr>
          <w:rFonts w:hint="eastAsia" w:ascii="Times New Roman" w:hAnsi="Times New Roman" w:eastAsia="仿宋_GB2312" w:cs="Times New Roman"/>
          <w:sz w:val="32"/>
          <w:szCs w:val="32"/>
          <w:lang w:val="en-US" w:eastAsia="zh-CN"/>
        </w:rPr>
        <w:t>。</w:t>
      </w:r>
    </w:p>
    <w:p w14:paraId="6DAC9A35">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及相关身份证明材料</w:t>
      </w:r>
      <w:r>
        <w:rPr>
          <w:rFonts w:hint="default" w:ascii="Times New Roman" w:hAnsi="Times New Roman" w:eastAsia="仿宋_GB2312" w:cs="Times New Roman"/>
          <w:sz w:val="32"/>
          <w:szCs w:val="32"/>
          <w:lang w:val="en-US" w:eastAsia="zh-CN"/>
        </w:rPr>
        <w:t>参加比赛。</w:t>
      </w:r>
    </w:p>
    <w:p w14:paraId="515B81B6">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）参赛运动员必须经县级以上医院检查证明身体适宜参加运动竞赛，并办理人身意外伤害保险。</w:t>
      </w:r>
    </w:p>
    <w:p w14:paraId="524D381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各队比赛服装必须统一，比赛服</w:t>
      </w:r>
      <w:r>
        <w:rPr>
          <w:rFonts w:hint="eastAsia" w:ascii="Times New Roman" w:hAnsi="Times New Roman" w:eastAsia="仿宋_GB2312" w:cs="Times New Roman"/>
          <w:sz w:val="32"/>
          <w:szCs w:val="32"/>
          <w:lang w:val="en-US" w:eastAsia="zh-CN"/>
        </w:rPr>
        <w:t>原则上</w:t>
      </w:r>
      <w:r>
        <w:rPr>
          <w:rFonts w:hint="default" w:ascii="Times New Roman" w:hAnsi="Times New Roman" w:eastAsia="仿宋_GB2312" w:cs="Times New Roman"/>
          <w:sz w:val="32"/>
          <w:szCs w:val="32"/>
          <w:lang w:val="en-US" w:eastAsia="zh-CN"/>
        </w:rPr>
        <w:t>须有参赛单位名称和运动员姓名等信息。</w:t>
      </w:r>
    </w:p>
    <w:p w14:paraId="3496768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textAlignment w:val="auto"/>
        <w:rPr>
          <w:rStyle w:val="11"/>
          <w:rFonts w:hint="default" w:ascii="黑体" w:hAnsi="黑体" w:eastAsia="黑体" w:cs="黑体"/>
          <w:b w:val="0"/>
          <w:bCs w:val="0"/>
          <w:color w:val="000000"/>
          <w:sz w:val="32"/>
          <w:szCs w:val="32"/>
          <w:lang w:val="en-US" w:eastAsia="zh-CN" w:bidi="ar-SA"/>
        </w:rPr>
      </w:pPr>
      <w:bookmarkStart w:id="4" w:name="_Toc26574"/>
      <w:r>
        <w:rPr>
          <w:rStyle w:val="11"/>
          <w:rFonts w:hint="eastAsia" w:ascii="黑体" w:hAnsi="黑体" w:eastAsia="黑体" w:cs="黑体"/>
          <w:b w:val="0"/>
          <w:bCs w:val="0"/>
          <w:color w:val="000000"/>
          <w:sz w:val="32"/>
          <w:szCs w:val="32"/>
          <w:lang w:val="en-US" w:eastAsia="zh-CN" w:bidi="ar-SA"/>
        </w:rPr>
        <w:t>五</w:t>
      </w:r>
      <w:r>
        <w:rPr>
          <w:rStyle w:val="11"/>
          <w:rFonts w:hint="default" w:ascii="黑体" w:hAnsi="黑体" w:eastAsia="黑体" w:cs="黑体"/>
          <w:b w:val="0"/>
          <w:bCs w:val="0"/>
          <w:color w:val="000000"/>
          <w:sz w:val="32"/>
          <w:szCs w:val="32"/>
          <w:lang w:val="en-US" w:eastAsia="zh-CN" w:bidi="ar-SA"/>
        </w:rPr>
        <w:t>、竞赛办法</w:t>
      </w:r>
      <w:bookmarkEnd w:id="4"/>
    </w:p>
    <w:p w14:paraId="3B151C06">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（一）团体赛</w:t>
      </w:r>
    </w:p>
    <w:p w14:paraId="68031807">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1.分两个阶段进行：第一阶段采用分组循环赛；第二阶段采用交叉淘汰赛及增加附加赛决出第1至第</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名。</w:t>
      </w:r>
    </w:p>
    <w:p w14:paraId="3F8BEEA0">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2.参赛不足8个队，采用不分阶段、不分组循环赛。</w:t>
      </w:r>
    </w:p>
    <w:p w14:paraId="3EFF55DA">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3.所有运动员必须参加团体比赛。</w:t>
      </w:r>
    </w:p>
    <w:p w14:paraId="6221E45C">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（二）个人赛</w:t>
      </w:r>
    </w:p>
    <w:p w14:paraId="1B815090">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1.分两个阶段进行：第一阶段采用分组循环赛；第二阶段采用交叉淘汰赛及增加附加赛决出第1至第</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名。</w:t>
      </w:r>
    </w:p>
    <w:p w14:paraId="054A7CE3">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2.参赛不足8人，采用不分阶段、不分组循环赛。</w:t>
      </w:r>
    </w:p>
    <w:p w14:paraId="55C853E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3.所有运动员必须参加单项比赛。</w:t>
      </w:r>
    </w:p>
    <w:p w14:paraId="05B6766B">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（三）双打</w:t>
      </w:r>
    </w:p>
    <w:p w14:paraId="340A9F2E">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1.分两个阶段进行：第一阶段采用分组循环赛；第二阶段采用交叉淘汰赛及增加附加赛决出第1至第</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名。</w:t>
      </w:r>
    </w:p>
    <w:p w14:paraId="6D319C20">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2.参赛不足8个队，采用不分阶段、不分组循环赛。</w:t>
      </w:r>
    </w:p>
    <w:p w14:paraId="02BCFD9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参加双打比赛的运动员</w:t>
      </w:r>
      <w:r>
        <w:rPr>
          <w:rFonts w:hint="default" w:ascii="Times New Roman" w:hAnsi="Times New Roman" w:eastAsia="仿宋_GB2312" w:cs="Times New Roman"/>
          <w:sz w:val="32"/>
          <w:szCs w:val="32"/>
          <w:lang w:val="en-US" w:eastAsia="zh-CN"/>
        </w:rPr>
        <w:t>不能参加</w:t>
      </w:r>
      <w:r>
        <w:rPr>
          <w:rFonts w:hint="eastAsia" w:ascii="Times New Roman" w:hAnsi="Times New Roman" w:eastAsia="仿宋_GB2312" w:cs="Times New Roman"/>
          <w:sz w:val="32"/>
          <w:szCs w:val="32"/>
          <w:lang w:val="en-US" w:eastAsia="zh-CN"/>
        </w:rPr>
        <w:t>男女</w:t>
      </w:r>
      <w:r>
        <w:rPr>
          <w:rFonts w:hint="default" w:ascii="Times New Roman" w:hAnsi="Times New Roman" w:eastAsia="仿宋_GB2312" w:cs="Times New Roman"/>
          <w:sz w:val="32"/>
          <w:szCs w:val="32"/>
          <w:lang w:val="en-US" w:eastAsia="zh-CN"/>
        </w:rPr>
        <w:t>混合双打。</w:t>
      </w:r>
    </w:p>
    <w:p w14:paraId="052406E6">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w:t>
      </w:r>
      <w:r>
        <w:rPr>
          <w:rFonts w:hint="eastAsia" w:ascii="Times New Roman" w:hAnsi="Times New Roman" w:eastAsia="仿宋_GB2312" w:cs="Times New Roman"/>
          <w:sz w:val="32"/>
          <w:szCs w:val="32"/>
          <w:lang w:val="en-US" w:eastAsia="zh-CN"/>
        </w:rPr>
        <w:t>男女</w:t>
      </w:r>
      <w:r>
        <w:rPr>
          <w:rFonts w:hint="default" w:ascii="Times New Roman" w:hAnsi="Times New Roman" w:eastAsia="仿宋_GB2312" w:cs="Times New Roman"/>
          <w:sz w:val="32"/>
          <w:szCs w:val="32"/>
          <w:lang w:val="en-US" w:eastAsia="zh-CN"/>
        </w:rPr>
        <w:t>混合双打</w:t>
      </w:r>
    </w:p>
    <w:p w14:paraId="4F03AB36">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1.分两个阶段进行：第一阶段采用分组循环赛；第二阶段采用交叉淘汰赛及增加附加赛决出第1至第</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名。</w:t>
      </w:r>
    </w:p>
    <w:p w14:paraId="0DB46275">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2.参赛不足8个队，采用不分阶段、不分组循环赛。</w:t>
      </w:r>
    </w:p>
    <w:p w14:paraId="7CAB5826">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参加男女</w:t>
      </w:r>
      <w:r>
        <w:rPr>
          <w:rFonts w:hint="default" w:ascii="Times New Roman" w:hAnsi="Times New Roman" w:eastAsia="仿宋_GB2312" w:cs="Times New Roman"/>
          <w:sz w:val="32"/>
          <w:szCs w:val="32"/>
          <w:lang w:val="en-US" w:eastAsia="zh-CN"/>
        </w:rPr>
        <w:t>混合双打</w:t>
      </w:r>
      <w:r>
        <w:rPr>
          <w:rFonts w:hint="eastAsia" w:ascii="Times New Roman" w:hAnsi="Times New Roman" w:eastAsia="仿宋_GB2312" w:cs="Times New Roman"/>
          <w:sz w:val="32"/>
          <w:szCs w:val="32"/>
          <w:lang w:val="en-US" w:eastAsia="zh-CN"/>
        </w:rPr>
        <w:t>比赛的</w:t>
      </w:r>
      <w:r>
        <w:rPr>
          <w:rFonts w:hint="default" w:ascii="Times New Roman" w:hAnsi="Times New Roman" w:eastAsia="仿宋_GB2312" w:cs="Times New Roman"/>
          <w:sz w:val="32"/>
          <w:szCs w:val="32"/>
          <w:lang w:val="en-US" w:eastAsia="zh-CN"/>
        </w:rPr>
        <w:t>运动员不能参加双打。</w:t>
      </w:r>
    </w:p>
    <w:p w14:paraId="083CC457">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（五）执行国家民委、国家体育总局2018年审定的《陀螺竞赛规则》。</w:t>
      </w:r>
    </w:p>
    <w:p w14:paraId="5DE3474B">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（六）比赛用陀螺</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垫子由大会统一提供，鞭杆及鞭绳自备，须符合《陀螺竞赛规则》规定。</w:t>
      </w:r>
    </w:p>
    <w:p w14:paraId="59BD8B9D">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textAlignment w:val="auto"/>
        <w:rPr>
          <w:rStyle w:val="11"/>
          <w:rFonts w:hint="eastAsia" w:ascii="黑体" w:hAnsi="黑体" w:eastAsia="黑体" w:cs="黑体"/>
          <w:b w:val="0"/>
          <w:bCs w:val="0"/>
          <w:color w:val="000000"/>
          <w:sz w:val="32"/>
          <w:szCs w:val="32"/>
          <w:lang w:val="en-US" w:eastAsia="zh-CN" w:bidi="ar-SA"/>
        </w:rPr>
      </w:pPr>
      <w:bookmarkStart w:id="5" w:name="_Toc32270"/>
      <w:r>
        <w:rPr>
          <w:rStyle w:val="11"/>
          <w:rFonts w:hint="eastAsia" w:ascii="黑体" w:hAnsi="黑体" w:eastAsia="黑体" w:cs="黑体"/>
          <w:b w:val="0"/>
          <w:bCs w:val="0"/>
          <w:color w:val="000000"/>
          <w:sz w:val="32"/>
          <w:szCs w:val="32"/>
          <w:lang w:val="en-US" w:eastAsia="zh-CN" w:bidi="ar-SA"/>
        </w:rPr>
        <w:t>六、录取名次及奖励办法</w:t>
      </w:r>
      <w:bookmarkEnd w:id="5"/>
    </w:p>
    <w:p w14:paraId="2420E997">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按《黔东南州第十</w:t>
      </w: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届运动会暨第</w:t>
      </w: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届少数民族传统体育运动会规程总则》规定录取名次</w:t>
      </w:r>
    </w:p>
    <w:p w14:paraId="18F8A92C">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Style w:val="11"/>
          <w:rFonts w:hint="eastAsia" w:ascii="黑体" w:hAnsi="黑体" w:eastAsia="黑体" w:cs="黑体"/>
          <w:b w:val="0"/>
          <w:bCs w:val="0"/>
          <w:color w:val="000000"/>
          <w:sz w:val="32"/>
          <w:szCs w:val="32"/>
          <w:lang w:val="en-US" w:eastAsia="zh-CN" w:bidi="ar-SA"/>
        </w:rPr>
        <w:t>七、</w:t>
      </w:r>
      <w:r>
        <w:rPr>
          <w:rStyle w:val="11"/>
          <w:rFonts w:hint="default" w:ascii="黑体" w:hAnsi="黑体" w:eastAsia="黑体" w:cs="黑体"/>
          <w:b w:val="0"/>
          <w:bCs w:val="0"/>
          <w:color w:val="000000"/>
          <w:sz w:val="32"/>
          <w:szCs w:val="32"/>
          <w:lang w:val="en-US" w:eastAsia="zh-CN" w:bidi="ar-SA"/>
        </w:rPr>
        <w:t>报名和报到</w:t>
      </w:r>
    </w:p>
    <w:p w14:paraId="222A7F4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各参赛单位于2025年6月20日前将《报名表》电子文档和盖章扫描件发送到州文体广电旅游局竞技体育科邮箱：qdnjjty@163.com。联系人：杨森，0855-8277876。如出现电子文档和盖章扫描件不一致，以盖章扫描件为准；</w:t>
      </w:r>
    </w:p>
    <w:p w14:paraId="169F80C5">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各代表队于202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日下午15∶30前到</w:t>
      </w:r>
      <w:r>
        <w:rPr>
          <w:rFonts w:hint="eastAsia" w:ascii="Times New Roman" w:hAnsi="Times New Roman" w:eastAsia="仿宋_GB2312" w:cs="Times New Roman"/>
          <w:sz w:val="32"/>
          <w:szCs w:val="32"/>
          <w:lang w:val="en-US" w:eastAsia="zh-CN"/>
        </w:rPr>
        <w:t>黄平</w:t>
      </w:r>
      <w:bookmarkStart w:id="6" w:name="_GoBack"/>
      <w:bookmarkEnd w:id="6"/>
      <w:r>
        <w:rPr>
          <w:rFonts w:hint="default" w:ascii="Times New Roman" w:hAnsi="Times New Roman" w:eastAsia="仿宋_GB2312" w:cs="Times New Roman"/>
          <w:sz w:val="32"/>
          <w:szCs w:val="32"/>
          <w:lang w:val="en-US" w:eastAsia="zh-CN"/>
        </w:rPr>
        <w:t>县体育馆报到。下午16∶00召开赛前技术会议</w:t>
      </w:r>
      <w:r>
        <w:rPr>
          <w:rFonts w:hint="eastAsia" w:ascii="Times New Roman" w:hAnsi="Times New Roman" w:eastAsia="仿宋_GB2312" w:cs="Times New Roman"/>
          <w:sz w:val="32"/>
          <w:szCs w:val="32"/>
          <w:lang w:val="en-US" w:eastAsia="zh-CN"/>
        </w:rPr>
        <w:t>，会议地点另行通知。</w:t>
      </w:r>
    </w:p>
    <w:p w14:paraId="034396E6">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各参赛代表队报到时必须交验下列材料：</w:t>
      </w:r>
    </w:p>
    <w:p w14:paraId="78056F66">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1.体检</w:t>
      </w:r>
      <w:r>
        <w:rPr>
          <w:rFonts w:hint="default" w:ascii="Times New Roman" w:hAnsi="Times New Roman" w:eastAsia="仿宋_GB2312" w:cs="Times New Roman"/>
          <w:sz w:val="32"/>
          <w:szCs w:val="32"/>
          <w:lang w:val="en-US" w:eastAsia="zh-CN"/>
        </w:rPr>
        <w:t>材料</w:t>
      </w:r>
      <w:r>
        <w:rPr>
          <w:rFonts w:hint="eastAsia" w:ascii="Times New Roman" w:hAnsi="Times New Roman" w:eastAsia="仿宋_GB2312" w:cs="Times New Roman"/>
          <w:sz w:val="32"/>
          <w:szCs w:val="32"/>
          <w:lang w:val="en-US" w:eastAsia="zh-CN"/>
        </w:rPr>
        <w:t>。</w:t>
      </w:r>
    </w:p>
    <w:p w14:paraId="026D7F85">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保险单据</w:t>
      </w:r>
      <w:r>
        <w:rPr>
          <w:rFonts w:hint="eastAsia" w:ascii="Times New Roman" w:hAnsi="Times New Roman" w:eastAsia="仿宋_GB2312" w:cs="Times New Roman"/>
          <w:sz w:val="32"/>
          <w:szCs w:val="32"/>
          <w:lang w:val="en-US" w:eastAsia="zh-CN"/>
        </w:rPr>
        <w:t>。</w:t>
      </w:r>
    </w:p>
    <w:p w14:paraId="691E098C">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3.《反兴奋剂和赛风赛纪保证书》</w:t>
      </w:r>
    </w:p>
    <w:p w14:paraId="42F0F1D8">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日下午19∶30前到</w:t>
      </w:r>
      <w:r>
        <w:rPr>
          <w:rFonts w:hint="eastAsia" w:ascii="Times New Roman" w:hAnsi="Times New Roman" w:eastAsia="仿宋_GB2312" w:cs="Times New Roman"/>
          <w:sz w:val="32"/>
          <w:szCs w:val="32"/>
          <w:lang w:val="en-US" w:eastAsia="zh-CN"/>
        </w:rPr>
        <w:t>黄平</w:t>
      </w:r>
      <w:r>
        <w:rPr>
          <w:rFonts w:hint="default" w:ascii="Times New Roman" w:hAnsi="Times New Roman" w:eastAsia="仿宋_GB2312" w:cs="Times New Roman"/>
          <w:sz w:val="32"/>
          <w:szCs w:val="32"/>
          <w:lang w:val="en-US" w:eastAsia="zh-CN"/>
        </w:rPr>
        <w:t>县体育馆报到，晚上20∶00召开预备会。</w:t>
      </w:r>
    </w:p>
    <w:p w14:paraId="64FC7A98">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比赛裁判员及技术人员和志愿者于202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日下午19∶30前到</w:t>
      </w:r>
      <w:r>
        <w:rPr>
          <w:rFonts w:hint="eastAsia" w:ascii="Times New Roman" w:hAnsi="Times New Roman" w:eastAsia="仿宋_GB2312" w:cs="Times New Roman"/>
          <w:sz w:val="32"/>
          <w:szCs w:val="32"/>
          <w:lang w:val="en-US" w:eastAsia="zh-CN"/>
        </w:rPr>
        <w:t>黄平</w:t>
      </w:r>
      <w:r>
        <w:rPr>
          <w:rFonts w:hint="default" w:ascii="Times New Roman" w:hAnsi="Times New Roman" w:eastAsia="仿宋_GB2312" w:cs="Times New Roman"/>
          <w:sz w:val="32"/>
          <w:szCs w:val="32"/>
          <w:lang w:val="en-US" w:eastAsia="zh-CN"/>
        </w:rPr>
        <w:t>县体育馆报到，</w:t>
      </w:r>
      <w:r>
        <w:rPr>
          <w:rFonts w:hint="eastAsia" w:ascii="Times New Roman" w:hAnsi="Times New Roman" w:eastAsia="仿宋_GB2312" w:cs="Times New Roman"/>
          <w:sz w:val="32"/>
          <w:szCs w:val="32"/>
          <w:lang w:val="en-US" w:eastAsia="zh-CN"/>
        </w:rPr>
        <w:t>8月8</w:t>
      </w:r>
      <w:r>
        <w:rPr>
          <w:rFonts w:hint="default" w:ascii="Times New Roman" w:hAnsi="Times New Roman" w:eastAsia="仿宋_GB2312" w:cs="Times New Roman"/>
          <w:sz w:val="32"/>
          <w:szCs w:val="32"/>
          <w:lang w:val="en-US" w:eastAsia="zh-CN"/>
        </w:rPr>
        <w:t>日参加培训会。</w:t>
      </w:r>
    </w:p>
    <w:p w14:paraId="560C281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八、</w:t>
      </w:r>
      <w:r>
        <w:rPr>
          <w:rStyle w:val="11"/>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11"/>
          <w:rFonts w:hint="default" w:ascii="Times New Roman" w:hAnsi="Times New Roman" w:eastAsia="仿宋_GB2312" w:cs="Times New Roman"/>
          <w:color w:val="000000"/>
          <w:sz w:val="32"/>
          <w:szCs w:val="32"/>
          <w:lang w:val="en-US" w:eastAsia="zh-CN" w:bidi="ar-SA"/>
        </w:rPr>
        <w:t>志愿者和相关技术人员由</w:t>
      </w:r>
      <w:r>
        <w:rPr>
          <w:rStyle w:val="11"/>
          <w:rFonts w:hint="eastAsia" w:ascii="Times New Roman" w:hAnsi="Times New Roman" w:eastAsia="仿宋_GB2312" w:cs="Times New Roman"/>
          <w:color w:val="000000"/>
          <w:sz w:val="32"/>
          <w:szCs w:val="32"/>
          <w:lang w:val="en-US" w:eastAsia="zh-CN" w:bidi="ar-SA"/>
        </w:rPr>
        <w:t>黄平</w:t>
      </w:r>
      <w:r>
        <w:rPr>
          <w:rStyle w:val="11"/>
          <w:rFonts w:hint="default" w:ascii="Times New Roman" w:hAnsi="Times New Roman" w:eastAsia="仿宋_GB2312" w:cs="Times New Roman"/>
          <w:color w:val="000000"/>
          <w:sz w:val="32"/>
          <w:szCs w:val="32"/>
          <w:lang w:val="en-US" w:eastAsia="zh-CN" w:bidi="ar-SA"/>
        </w:rPr>
        <w:t>县</w:t>
      </w:r>
      <w:r>
        <w:rPr>
          <w:rStyle w:val="11"/>
          <w:rFonts w:hint="default" w:ascii="Times New Roman" w:hAnsi="Times New Roman" w:eastAsia="仿宋_GB2312" w:cs="Times New Roman"/>
          <w:color w:val="000000"/>
          <w:sz w:val="32"/>
          <w:szCs w:val="32"/>
          <w:lang w:val="en-US" w:eastAsia="en-US" w:bidi="ar-SA"/>
        </w:rPr>
        <w:t>选派。</w:t>
      </w:r>
    </w:p>
    <w:p w14:paraId="0252438F">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九、</w:t>
      </w:r>
      <w:r>
        <w:rPr>
          <w:rStyle w:val="11"/>
          <w:rFonts w:hint="default" w:ascii="黑体" w:hAnsi="黑体" w:eastAsia="黑体" w:cs="黑体"/>
          <w:b w:val="0"/>
          <w:bCs w:val="0"/>
          <w:color w:val="000000"/>
          <w:sz w:val="32"/>
          <w:szCs w:val="32"/>
          <w:lang w:val="en-US" w:eastAsia="zh-CN" w:bidi="ar-SA"/>
        </w:rPr>
        <w:t>本规程由本单项竞委会负责解释。</w:t>
      </w:r>
    </w:p>
    <w:p w14:paraId="18681F5C">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textAlignment w:val="auto"/>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十、</w:t>
      </w:r>
      <w:r>
        <w:rPr>
          <w:rStyle w:val="11"/>
          <w:rFonts w:hint="default" w:ascii="黑体" w:hAnsi="黑体" w:eastAsia="黑体" w:cs="黑体"/>
          <w:b w:val="0"/>
          <w:bCs w:val="0"/>
          <w:color w:val="000000"/>
          <w:sz w:val="32"/>
          <w:szCs w:val="32"/>
          <w:lang w:val="en-US" w:eastAsia="zh-CN" w:bidi="ar-SA"/>
        </w:rPr>
        <w:t>未尽事宜，</w:t>
      </w:r>
      <w:r>
        <w:rPr>
          <w:rStyle w:val="11"/>
          <w:rFonts w:hint="eastAsia" w:ascii="黑体" w:hAnsi="黑体" w:eastAsia="黑体" w:cs="黑体"/>
          <w:b w:val="0"/>
          <w:bCs w:val="0"/>
          <w:color w:val="000000"/>
          <w:sz w:val="32"/>
          <w:szCs w:val="32"/>
          <w:lang w:val="en-US" w:eastAsia="zh-CN" w:bidi="ar-SA"/>
        </w:rPr>
        <w:t>另行</w:t>
      </w:r>
      <w:r>
        <w:rPr>
          <w:rStyle w:val="11"/>
          <w:rFonts w:hint="default" w:ascii="黑体" w:hAnsi="黑体" w:eastAsia="黑体" w:cs="黑体"/>
          <w:b w:val="0"/>
          <w:bCs w:val="0"/>
          <w:color w:val="000000"/>
          <w:sz w:val="32"/>
          <w:szCs w:val="32"/>
          <w:lang w:val="en-US" w:eastAsia="zh-CN" w:bidi="ar-SA"/>
        </w:rPr>
        <w:t>补充通知</w:t>
      </w:r>
      <w:r>
        <w:rPr>
          <w:rStyle w:val="11"/>
          <w:rFonts w:hint="eastAsia" w:ascii="黑体" w:hAnsi="黑体" w:eastAsia="黑体" w:cs="黑体"/>
          <w:b w:val="0"/>
          <w:bCs w:val="0"/>
          <w:color w:val="000000"/>
          <w:sz w:val="32"/>
          <w:szCs w:val="32"/>
          <w:lang w:val="en-US" w:eastAsia="zh-CN" w:bidi="ar-SA"/>
        </w:rPr>
        <w:t>。</w:t>
      </w:r>
    </w:p>
    <w:p w14:paraId="31236D7A">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p>
    <w:p w14:paraId="77DF3E45">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p>
    <w:p w14:paraId="595148DD">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p>
    <w:p w14:paraId="7ED0F8C0">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p>
    <w:p w14:paraId="71B3B84E">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p>
    <w:p w14:paraId="1E42E6FA">
      <w:pPr>
        <w:keepNext w:val="0"/>
        <w:keepLines w:val="0"/>
        <w:pageBreakBefore w:val="0"/>
        <w:kinsoku/>
        <w:wordWrap/>
        <w:overflowPunct/>
        <w:topLinePunct w:val="0"/>
        <w:autoSpaceDE/>
        <w:autoSpaceDN/>
        <w:bidi w:val="0"/>
        <w:adjustRightInd/>
        <w:spacing w:line="72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陀螺比赛报名表</w:t>
      </w:r>
    </w:p>
    <w:p w14:paraId="35689E58">
      <w:pPr>
        <w:keepNext w:val="0"/>
        <w:keepLines w:val="0"/>
        <w:pageBreakBefore w:val="0"/>
        <w:kinsoku/>
        <w:wordWrap/>
        <w:overflowPunct/>
        <w:topLinePunct w:val="0"/>
        <w:autoSpaceDE/>
        <w:autoSpaceDN/>
        <w:bidi w:val="0"/>
        <w:adjustRightInd/>
        <w:spacing w:line="72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69C450E9">
      <w:pPr>
        <w:keepNext w:val="0"/>
        <w:keepLines w:val="0"/>
        <w:pageBreakBefore w:val="0"/>
        <w:widowControl w:val="0"/>
        <w:kinsoku/>
        <w:wordWrap/>
        <w:overflowPunct/>
        <w:topLinePunct w:val="0"/>
        <w:autoSpaceDE/>
        <w:autoSpaceDN/>
        <w:bidi w:val="0"/>
        <w:adjustRightInd/>
        <w:snapToGrid w:val="0"/>
        <w:spacing w:line="720" w:lineRule="exact"/>
        <w:textAlignment w:val="baseline"/>
        <w:rPr>
          <w:rStyle w:val="11"/>
          <w:rFonts w:hint="eastAsia" w:ascii="仿宋_GB2312" w:hAnsi="仿宋_GB2312" w:eastAsia="仿宋_GB2312" w:cs="仿宋_GB2312"/>
          <w:color w:val="000000"/>
          <w:sz w:val="28"/>
          <w:szCs w:val="28"/>
          <w:u w:val="none"/>
          <w:lang w:val="en-US" w:eastAsia="zh-CN" w:bidi="ar-SA"/>
        </w:rPr>
      </w:pPr>
      <w:r>
        <w:rPr>
          <w:rStyle w:val="11"/>
          <w:rFonts w:hint="eastAsia" w:ascii="仿宋_GB2312" w:hAnsi="仿宋_GB2312" w:eastAsia="仿宋_GB2312" w:cs="仿宋_GB2312"/>
          <w:color w:val="000000"/>
          <w:sz w:val="28"/>
          <w:szCs w:val="28"/>
          <w:lang w:val="en-US" w:eastAsia="zh-CN" w:bidi="ar-SA"/>
        </w:rPr>
        <w:t>代表</w:t>
      </w:r>
      <w:r>
        <w:rPr>
          <w:rStyle w:val="11"/>
          <w:rFonts w:hint="eastAsia" w:ascii="仿宋_GB2312" w:hAnsi="仿宋_GB2312" w:eastAsia="仿宋_GB2312" w:cs="仿宋_GB2312"/>
          <w:color w:val="000000"/>
          <w:sz w:val="28"/>
          <w:szCs w:val="28"/>
          <w:lang w:val="en-US" w:eastAsia="en-US" w:bidi="ar-SA"/>
        </w:rPr>
        <w:t>队</w:t>
      </w:r>
      <w:r>
        <w:rPr>
          <w:rStyle w:val="11"/>
          <w:rFonts w:hint="eastAsia" w:ascii="仿宋_GB2312" w:hAnsi="仿宋_GB2312" w:eastAsia="仿宋_GB2312" w:cs="仿宋_GB2312"/>
          <w:color w:val="000000"/>
          <w:sz w:val="28"/>
          <w:szCs w:val="28"/>
          <w:lang w:val="en-US" w:eastAsia="zh-CN" w:bidi="ar-SA"/>
        </w:rPr>
        <w:t>名称（公章）：</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p>
    <w:p w14:paraId="40269A9B">
      <w:pPr>
        <w:keepNext w:val="0"/>
        <w:keepLines w:val="0"/>
        <w:pageBreakBefore w:val="0"/>
        <w:widowControl w:val="0"/>
        <w:kinsoku/>
        <w:wordWrap/>
        <w:overflowPunct/>
        <w:topLinePunct w:val="0"/>
        <w:autoSpaceDE/>
        <w:autoSpaceDN/>
        <w:bidi w:val="0"/>
        <w:adjustRightInd/>
        <w:snapToGrid w:val="0"/>
        <w:spacing w:line="720" w:lineRule="exact"/>
        <w:textAlignment w:val="baseline"/>
        <w:rPr>
          <w:rStyle w:val="11"/>
          <w:rFonts w:hint="eastAsia" w:ascii="仿宋_GB2312" w:hAnsi="仿宋_GB2312" w:eastAsia="仿宋_GB2312" w:cs="仿宋_GB2312"/>
          <w:color w:val="000000"/>
          <w:sz w:val="28"/>
          <w:szCs w:val="28"/>
          <w:u w:val="single"/>
          <w:lang w:val="en-US" w:eastAsia="zh-CN" w:bidi="ar-SA"/>
        </w:rPr>
      </w:pPr>
      <w:r>
        <w:rPr>
          <w:rStyle w:val="11"/>
          <w:rFonts w:hint="eastAsia" w:ascii="仿宋_GB2312" w:hAnsi="仿宋_GB2312" w:eastAsia="仿宋_GB2312" w:cs="仿宋_GB2312"/>
          <w:color w:val="000000"/>
          <w:sz w:val="28"/>
          <w:szCs w:val="28"/>
          <w:lang w:val="en-US" w:eastAsia="zh-CN" w:bidi="ar-SA"/>
        </w:rPr>
        <w:t>领队：</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单位及职务：</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p>
    <w:p w14:paraId="50576D3F">
      <w:pPr>
        <w:keepNext w:val="0"/>
        <w:keepLines w:val="0"/>
        <w:pageBreakBefore w:val="0"/>
        <w:widowControl w:val="0"/>
        <w:kinsoku/>
        <w:wordWrap/>
        <w:overflowPunct/>
        <w:topLinePunct w:val="0"/>
        <w:autoSpaceDE/>
        <w:autoSpaceDN/>
        <w:bidi w:val="0"/>
        <w:adjustRightInd/>
        <w:snapToGrid w:val="0"/>
        <w:spacing w:line="720" w:lineRule="exact"/>
        <w:textAlignment w:val="baseline"/>
        <w:rPr>
          <w:rStyle w:val="11"/>
          <w:rFonts w:hint="eastAsia" w:ascii="仿宋_GB2312" w:hAnsi="仿宋_GB2312" w:eastAsia="仿宋_GB2312" w:cs="仿宋_GB2312"/>
          <w:color w:val="000000"/>
          <w:sz w:val="28"/>
          <w:szCs w:val="28"/>
          <w:u w:val="single"/>
          <w:lang w:val="en-US" w:eastAsia="zh-CN" w:bidi="ar-SA"/>
        </w:rPr>
      </w:pPr>
      <w:r>
        <w:rPr>
          <w:rStyle w:val="11"/>
          <w:rFonts w:hint="eastAsia" w:ascii="仿宋_GB2312" w:hAnsi="仿宋_GB2312" w:eastAsia="仿宋_GB2312" w:cs="仿宋_GB2312"/>
          <w:color w:val="000000"/>
          <w:sz w:val="28"/>
          <w:szCs w:val="28"/>
          <w:lang w:val="en-US" w:eastAsia="zh-CN" w:bidi="ar-SA"/>
        </w:rPr>
        <w:t>教练：</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单位及职务：</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p>
    <w:p w14:paraId="1409B407">
      <w:pPr>
        <w:keepNext w:val="0"/>
        <w:keepLines w:val="0"/>
        <w:pageBreakBefore w:val="0"/>
        <w:widowControl w:val="0"/>
        <w:shd w:val="clear" w:color="auto" w:fill="FFFFFF"/>
        <w:kinsoku/>
        <w:wordWrap/>
        <w:overflowPunct/>
        <w:topLinePunct w:val="0"/>
        <w:autoSpaceDE/>
        <w:autoSpaceDN/>
        <w:bidi w:val="0"/>
        <w:adjustRightInd/>
        <w:snapToGrid w:val="0"/>
        <w:spacing w:line="720" w:lineRule="exact"/>
        <w:rPr>
          <w:rFonts w:hint="eastAsia"/>
          <w:sz w:val="32"/>
          <w:szCs w:val="32"/>
          <w:lang w:val="en-US" w:eastAsia="zh-CN"/>
        </w:rPr>
      </w:pPr>
      <w:r>
        <w:rPr>
          <w:rStyle w:val="11"/>
          <w:rFonts w:hint="eastAsia" w:ascii="仿宋_GB2312" w:hAnsi="仿宋_GB2312" w:eastAsia="仿宋_GB2312" w:cs="仿宋_GB2312"/>
          <w:color w:val="000000"/>
          <w:sz w:val="28"/>
          <w:szCs w:val="28"/>
          <w:u w:val="none"/>
          <w:lang w:val="en-US" w:eastAsia="zh-CN" w:bidi="ar-SA"/>
        </w:rPr>
        <w:t>裁判员：</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等级：</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en-US" w:bidi="ar-SA"/>
        </w:rPr>
        <w:t xml:space="preserve"> </w:t>
      </w:r>
      <w:r>
        <w:rPr>
          <w:rStyle w:val="11"/>
          <w:rFonts w:hint="eastAsia" w:ascii="仿宋_GB2312" w:hAnsi="仿宋_GB2312" w:eastAsia="仿宋_GB2312" w:cs="仿宋_GB2312"/>
          <w:color w:val="000000"/>
          <w:sz w:val="28"/>
          <w:szCs w:val="28"/>
          <w:lang w:val="en-US" w:eastAsia="zh-CN" w:bidi="ar-SA"/>
        </w:rPr>
        <w:t>职业：</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en-US" w:bidi="ar-SA"/>
        </w:rPr>
        <w:t xml:space="preserve"> </w:t>
      </w:r>
    </w:p>
    <w:tbl>
      <w:tblPr>
        <w:tblStyle w:val="5"/>
        <w:tblpPr w:leftFromText="180" w:rightFromText="180" w:vertAnchor="text" w:horzAnchor="page" w:tblpX="1665" w:tblpY="273"/>
        <w:tblOverlap w:val="never"/>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124"/>
        <w:gridCol w:w="795"/>
        <w:gridCol w:w="795"/>
        <w:gridCol w:w="1890"/>
        <w:gridCol w:w="1960"/>
        <w:gridCol w:w="1438"/>
      </w:tblGrid>
      <w:tr w14:paraId="07368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794" w:type="dxa"/>
            <w:tcBorders>
              <w:top w:val="single" w:color="auto" w:sz="4" w:space="0"/>
              <w:left w:val="single" w:color="auto" w:sz="4" w:space="0"/>
              <w:right w:val="single" w:color="auto" w:sz="4" w:space="0"/>
            </w:tcBorders>
            <w:noWrap w:val="0"/>
            <w:vAlign w:val="center"/>
          </w:tcPr>
          <w:p w14:paraId="4F833031">
            <w:pPr>
              <w:keepNext w:val="0"/>
              <w:keepLines w:val="0"/>
              <w:pageBreakBefore w:val="0"/>
              <w:widowControl/>
              <w:suppressLineNumbers w:val="0"/>
              <w:kinsoku/>
              <w:wordWrap/>
              <w:overflowPunct/>
              <w:topLinePunct w:val="0"/>
              <w:autoSpaceDE/>
              <w:autoSpaceDN/>
              <w:bidi w:val="0"/>
              <w:adjustRightInd/>
              <w:snapToGrid w:val="0"/>
              <w:spacing w:line="800" w:lineRule="exact"/>
              <w:jc w:val="both"/>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序号</w:t>
            </w:r>
          </w:p>
        </w:tc>
        <w:tc>
          <w:tcPr>
            <w:tcW w:w="1124" w:type="dxa"/>
            <w:tcBorders>
              <w:top w:val="single" w:color="auto" w:sz="4" w:space="0"/>
              <w:left w:val="nil"/>
              <w:right w:val="single" w:color="auto" w:sz="4" w:space="0"/>
            </w:tcBorders>
            <w:noWrap w:val="0"/>
            <w:vAlign w:val="center"/>
          </w:tcPr>
          <w:p w14:paraId="3F4CEA62">
            <w:pPr>
              <w:keepNext w:val="0"/>
              <w:keepLines w:val="0"/>
              <w:pageBreakBefore w:val="0"/>
              <w:widowControl/>
              <w:suppressLineNumbers w:val="0"/>
              <w:kinsoku/>
              <w:wordWrap/>
              <w:overflowPunct/>
              <w:topLinePunct w:val="0"/>
              <w:autoSpaceDE/>
              <w:autoSpaceDN/>
              <w:bidi w:val="0"/>
              <w:adjustRightInd/>
              <w:snapToGrid w:val="0"/>
              <w:spacing w:line="800" w:lineRule="exact"/>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姓</w:t>
            </w:r>
            <w:r>
              <w:rPr>
                <w:rStyle w:val="9"/>
                <w:rFonts w:hint="default" w:ascii="Times New Roman" w:hAnsi="Times New Roman" w:eastAsia="仿宋_GB2312" w:cs="Times New Roman"/>
                <w:sz w:val="24"/>
                <w:szCs w:val="24"/>
                <w:lang w:val="en-US" w:eastAsia="zh-CN" w:bidi="ar"/>
              </w:rPr>
              <w:t>名</w:t>
            </w:r>
          </w:p>
        </w:tc>
        <w:tc>
          <w:tcPr>
            <w:tcW w:w="795" w:type="dxa"/>
            <w:tcBorders>
              <w:top w:val="single" w:color="auto" w:sz="4" w:space="0"/>
              <w:left w:val="nil"/>
              <w:right w:val="single" w:color="auto" w:sz="4" w:space="0"/>
            </w:tcBorders>
            <w:noWrap w:val="0"/>
            <w:vAlign w:val="center"/>
          </w:tcPr>
          <w:p w14:paraId="5A2FB7EF">
            <w:pPr>
              <w:keepNext w:val="0"/>
              <w:keepLines w:val="0"/>
              <w:pageBreakBefore w:val="0"/>
              <w:widowControl/>
              <w:suppressLineNumbers w:val="0"/>
              <w:kinsoku/>
              <w:wordWrap/>
              <w:overflowPunct/>
              <w:topLinePunct w:val="0"/>
              <w:autoSpaceDE/>
              <w:autoSpaceDN/>
              <w:bidi w:val="0"/>
              <w:adjustRightInd/>
              <w:snapToGrid w:val="0"/>
              <w:spacing w:line="800" w:lineRule="exact"/>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性别</w:t>
            </w:r>
          </w:p>
        </w:tc>
        <w:tc>
          <w:tcPr>
            <w:tcW w:w="795" w:type="dxa"/>
            <w:tcBorders>
              <w:top w:val="single" w:color="auto" w:sz="4" w:space="0"/>
              <w:left w:val="nil"/>
              <w:bottom w:val="single" w:color="auto" w:sz="4" w:space="0"/>
              <w:right w:val="single" w:color="auto" w:sz="4" w:space="0"/>
            </w:tcBorders>
            <w:noWrap w:val="0"/>
            <w:vAlign w:val="center"/>
          </w:tcPr>
          <w:p w14:paraId="685CE7E4">
            <w:pPr>
              <w:keepNext w:val="0"/>
              <w:keepLines w:val="0"/>
              <w:pageBreakBefore w:val="0"/>
              <w:widowControl/>
              <w:suppressLineNumbers w:val="0"/>
              <w:kinsoku/>
              <w:wordWrap/>
              <w:overflowPunct/>
              <w:topLinePunct w:val="0"/>
              <w:autoSpaceDE/>
              <w:autoSpaceDN/>
              <w:bidi w:val="0"/>
              <w:adjustRightInd/>
              <w:snapToGrid w:val="0"/>
              <w:spacing w:line="800" w:lineRule="exact"/>
              <w:jc w:val="center"/>
              <w:textAlignment w:val="center"/>
              <w:outlineLvl w:val="9"/>
              <w:rPr>
                <w:rFonts w:hint="default"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民族</w:t>
            </w:r>
          </w:p>
        </w:tc>
        <w:tc>
          <w:tcPr>
            <w:tcW w:w="1890" w:type="dxa"/>
            <w:tcBorders>
              <w:top w:val="single" w:color="auto" w:sz="4" w:space="0"/>
              <w:left w:val="single" w:color="auto" w:sz="4" w:space="0"/>
              <w:bottom w:val="single" w:color="auto" w:sz="4" w:space="0"/>
              <w:right w:val="single" w:color="auto" w:sz="4" w:space="0"/>
            </w:tcBorders>
            <w:noWrap w:val="0"/>
            <w:vAlign w:val="center"/>
          </w:tcPr>
          <w:p w14:paraId="5DB244F0">
            <w:pPr>
              <w:keepNext w:val="0"/>
              <w:keepLines w:val="0"/>
              <w:pageBreakBefore w:val="0"/>
              <w:widowControl/>
              <w:suppressLineNumbers w:val="0"/>
              <w:kinsoku/>
              <w:wordWrap/>
              <w:overflowPunct/>
              <w:topLinePunct w:val="0"/>
              <w:autoSpaceDE/>
              <w:autoSpaceDN/>
              <w:bidi w:val="0"/>
              <w:adjustRightInd/>
              <w:snapToGrid w:val="0"/>
              <w:spacing w:line="240" w:lineRule="exact"/>
              <w:jc w:val="center"/>
              <w:textAlignment w:val="center"/>
              <w:outlineLvl w:val="9"/>
              <w:rPr>
                <w:rFonts w:hint="default"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参赛项目（团体、单打、双打、男女混合双打）</w:t>
            </w:r>
          </w:p>
        </w:tc>
        <w:tc>
          <w:tcPr>
            <w:tcW w:w="1960" w:type="dxa"/>
            <w:tcBorders>
              <w:top w:val="single" w:color="auto" w:sz="4" w:space="0"/>
              <w:left w:val="nil"/>
              <w:right w:val="single" w:color="auto" w:sz="4" w:space="0"/>
            </w:tcBorders>
            <w:noWrap w:val="0"/>
            <w:vAlign w:val="center"/>
          </w:tcPr>
          <w:p w14:paraId="0142AE4B">
            <w:pPr>
              <w:keepNext w:val="0"/>
              <w:keepLines w:val="0"/>
              <w:pageBreakBefore w:val="0"/>
              <w:widowControl/>
              <w:suppressLineNumbers w:val="0"/>
              <w:kinsoku/>
              <w:wordWrap/>
              <w:overflowPunct/>
              <w:topLinePunct w:val="0"/>
              <w:autoSpaceDE/>
              <w:autoSpaceDN/>
              <w:bidi w:val="0"/>
              <w:adjustRightInd/>
              <w:snapToGrid w:val="0"/>
              <w:spacing w:line="800" w:lineRule="exact"/>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身份证号码</w:t>
            </w:r>
          </w:p>
        </w:tc>
        <w:tc>
          <w:tcPr>
            <w:tcW w:w="1438" w:type="dxa"/>
            <w:tcBorders>
              <w:top w:val="single" w:color="auto" w:sz="4" w:space="0"/>
              <w:left w:val="nil"/>
              <w:right w:val="single" w:color="auto" w:sz="4" w:space="0"/>
            </w:tcBorders>
            <w:noWrap w:val="0"/>
            <w:vAlign w:val="center"/>
          </w:tcPr>
          <w:p w14:paraId="7BEE13D7">
            <w:pPr>
              <w:keepNext w:val="0"/>
              <w:keepLines w:val="0"/>
              <w:pageBreakBefore w:val="0"/>
              <w:widowControl/>
              <w:suppressLineNumbers w:val="0"/>
              <w:kinsoku/>
              <w:wordWrap/>
              <w:overflowPunct/>
              <w:topLinePunct w:val="0"/>
              <w:autoSpaceDE/>
              <w:autoSpaceDN/>
              <w:bidi w:val="0"/>
              <w:adjustRightInd/>
              <w:snapToGrid w:val="0"/>
              <w:spacing w:line="800" w:lineRule="exact"/>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i w:val="0"/>
                <w:color w:val="000000"/>
                <w:kern w:val="0"/>
                <w:sz w:val="24"/>
                <w:szCs w:val="24"/>
                <w:u w:val="none"/>
                <w:lang w:val="en-US" w:eastAsia="zh-CN" w:bidi="ar"/>
              </w:rPr>
              <w:t>联系电话</w:t>
            </w:r>
          </w:p>
        </w:tc>
      </w:tr>
      <w:tr w14:paraId="46A3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C44377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r>
              <w:rPr>
                <w:rFonts w:hint="default" w:ascii="Times New Roman" w:hAnsi="Times New Roman" w:eastAsia="仿宋_GB2312" w:cs="Times New Roman"/>
                <w:i w:val="0"/>
                <w:color w:val="000000"/>
                <w:kern w:val="0"/>
                <w:sz w:val="24"/>
                <w:szCs w:val="24"/>
                <w:u w:val="none"/>
                <w:lang w:val="en-US" w:eastAsia="zh-CN" w:bidi="ar"/>
              </w:rPr>
              <w:t>1</w:t>
            </w:r>
          </w:p>
        </w:tc>
        <w:tc>
          <w:tcPr>
            <w:tcW w:w="1124" w:type="dxa"/>
            <w:tcBorders>
              <w:top w:val="single" w:color="auto" w:sz="4" w:space="0"/>
              <w:left w:val="nil"/>
              <w:bottom w:val="single" w:color="auto" w:sz="4" w:space="0"/>
              <w:right w:val="single" w:color="auto" w:sz="4" w:space="0"/>
            </w:tcBorders>
            <w:noWrap w:val="0"/>
            <w:vAlign w:val="center"/>
          </w:tcPr>
          <w:p w14:paraId="12EF135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7290685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1F3B9C0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14:paraId="4D35326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960" w:type="dxa"/>
            <w:tcBorders>
              <w:top w:val="single" w:color="auto" w:sz="4" w:space="0"/>
              <w:left w:val="nil"/>
              <w:bottom w:val="single" w:color="auto" w:sz="4" w:space="0"/>
              <w:right w:val="single" w:color="auto" w:sz="4" w:space="0"/>
            </w:tcBorders>
            <w:noWrap w:val="0"/>
            <w:vAlign w:val="center"/>
          </w:tcPr>
          <w:p w14:paraId="47BEB1A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438" w:type="dxa"/>
            <w:tcBorders>
              <w:top w:val="single" w:color="auto" w:sz="4" w:space="0"/>
              <w:left w:val="nil"/>
              <w:bottom w:val="single" w:color="auto" w:sz="4" w:space="0"/>
              <w:right w:val="single" w:color="auto" w:sz="4" w:space="0"/>
            </w:tcBorders>
            <w:noWrap w:val="0"/>
            <w:vAlign w:val="center"/>
          </w:tcPr>
          <w:p w14:paraId="0FF7504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r>
      <w:tr w14:paraId="4709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ED819B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r>
              <w:rPr>
                <w:rFonts w:hint="default" w:ascii="Times New Roman" w:hAnsi="Times New Roman" w:eastAsia="仿宋_GB2312" w:cs="Times New Roman"/>
                <w:i w:val="0"/>
                <w:color w:val="000000"/>
                <w:kern w:val="0"/>
                <w:sz w:val="24"/>
                <w:szCs w:val="24"/>
                <w:u w:val="none"/>
                <w:lang w:val="en-US" w:eastAsia="zh-CN" w:bidi="ar"/>
              </w:rPr>
              <w:t>2</w:t>
            </w:r>
          </w:p>
        </w:tc>
        <w:tc>
          <w:tcPr>
            <w:tcW w:w="1124" w:type="dxa"/>
            <w:tcBorders>
              <w:top w:val="single" w:color="auto" w:sz="4" w:space="0"/>
              <w:left w:val="nil"/>
              <w:bottom w:val="single" w:color="auto" w:sz="4" w:space="0"/>
              <w:right w:val="single" w:color="auto" w:sz="4" w:space="0"/>
            </w:tcBorders>
            <w:noWrap w:val="0"/>
            <w:vAlign w:val="center"/>
          </w:tcPr>
          <w:p w14:paraId="253A08E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3DBBD37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772A471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14:paraId="429FB20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960" w:type="dxa"/>
            <w:tcBorders>
              <w:top w:val="single" w:color="auto" w:sz="4" w:space="0"/>
              <w:left w:val="nil"/>
              <w:bottom w:val="single" w:color="auto" w:sz="4" w:space="0"/>
              <w:right w:val="single" w:color="auto" w:sz="4" w:space="0"/>
            </w:tcBorders>
            <w:noWrap w:val="0"/>
            <w:vAlign w:val="center"/>
          </w:tcPr>
          <w:p w14:paraId="6835F5F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438" w:type="dxa"/>
            <w:tcBorders>
              <w:top w:val="single" w:color="auto" w:sz="4" w:space="0"/>
              <w:left w:val="nil"/>
              <w:bottom w:val="single" w:color="auto" w:sz="4" w:space="0"/>
              <w:right w:val="single" w:color="auto" w:sz="4" w:space="0"/>
            </w:tcBorders>
            <w:noWrap w:val="0"/>
            <w:vAlign w:val="center"/>
          </w:tcPr>
          <w:p w14:paraId="2B0C5D3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r>
      <w:tr w14:paraId="7D461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3594FD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r>
              <w:rPr>
                <w:rFonts w:hint="default" w:ascii="Times New Roman" w:hAnsi="Times New Roman" w:eastAsia="仿宋_GB2312" w:cs="Times New Roman"/>
                <w:i w:val="0"/>
                <w:color w:val="000000"/>
                <w:kern w:val="0"/>
                <w:sz w:val="24"/>
                <w:szCs w:val="24"/>
                <w:u w:val="none"/>
                <w:lang w:val="en-US" w:eastAsia="zh-CN" w:bidi="ar"/>
              </w:rPr>
              <w:t>3</w:t>
            </w:r>
          </w:p>
        </w:tc>
        <w:tc>
          <w:tcPr>
            <w:tcW w:w="1124" w:type="dxa"/>
            <w:tcBorders>
              <w:top w:val="single" w:color="auto" w:sz="4" w:space="0"/>
              <w:left w:val="nil"/>
              <w:bottom w:val="single" w:color="auto" w:sz="4" w:space="0"/>
              <w:right w:val="single" w:color="auto" w:sz="4" w:space="0"/>
            </w:tcBorders>
            <w:noWrap w:val="0"/>
            <w:vAlign w:val="center"/>
          </w:tcPr>
          <w:p w14:paraId="4FAE15A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1686A60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0665D8D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14:paraId="3CE1CBD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960" w:type="dxa"/>
            <w:tcBorders>
              <w:top w:val="single" w:color="auto" w:sz="4" w:space="0"/>
              <w:left w:val="nil"/>
              <w:bottom w:val="single" w:color="auto" w:sz="4" w:space="0"/>
              <w:right w:val="single" w:color="auto" w:sz="4" w:space="0"/>
            </w:tcBorders>
            <w:noWrap w:val="0"/>
            <w:vAlign w:val="center"/>
          </w:tcPr>
          <w:p w14:paraId="3F0E2B7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438" w:type="dxa"/>
            <w:tcBorders>
              <w:top w:val="single" w:color="auto" w:sz="4" w:space="0"/>
              <w:left w:val="nil"/>
              <w:bottom w:val="single" w:color="auto" w:sz="4" w:space="0"/>
              <w:right w:val="single" w:color="auto" w:sz="4" w:space="0"/>
            </w:tcBorders>
            <w:noWrap w:val="0"/>
            <w:vAlign w:val="center"/>
          </w:tcPr>
          <w:p w14:paraId="03E3F23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r>
      <w:tr w14:paraId="1D5D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49BE8E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r>
              <w:rPr>
                <w:rFonts w:hint="default" w:ascii="Times New Roman" w:hAnsi="Times New Roman" w:eastAsia="仿宋_GB2312" w:cs="Times New Roman"/>
                <w:i w:val="0"/>
                <w:color w:val="000000"/>
                <w:kern w:val="0"/>
                <w:sz w:val="24"/>
                <w:szCs w:val="24"/>
                <w:u w:val="none"/>
                <w:lang w:val="en-US" w:eastAsia="zh-CN" w:bidi="ar"/>
              </w:rPr>
              <w:t>4</w:t>
            </w:r>
          </w:p>
        </w:tc>
        <w:tc>
          <w:tcPr>
            <w:tcW w:w="1124" w:type="dxa"/>
            <w:tcBorders>
              <w:top w:val="single" w:color="auto" w:sz="4" w:space="0"/>
              <w:left w:val="nil"/>
              <w:bottom w:val="single" w:color="auto" w:sz="4" w:space="0"/>
              <w:right w:val="single" w:color="auto" w:sz="4" w:space="0"/>
            </w:tcBorders>
            <w:noWrap w:val="0"/>
            <w:vAlign w:val="center"/>
          </w:tcPr>
          <w:p w14:paraId="015BAA5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18FE51F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19EA312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14:paraId="6BAAD2A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960" w:type="dxa"/>
            <w:tcBorders>
              <w:top w:val="single" w:color="auto" w:sz="4" w:space="0"/>
              <w:left w:val="nil"/>
              <w:bottom w:val="single" w:color="auto" w:sz="4" w:space="0"/>
              <w:right w:val="single" w:color="auto" w:sz="4" w:space="0"/>
            </w:tcBorders>
            <w:noWrap w:val="0"/>
            <w:vAlign w:val="center"/>
          </w:tcPr>
          <w:p w14:paraId="385BF0A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438" w:type="dxa"/>
            <w:tcBorders>
              <w:top w:val="single" w:color="auto" w:sz="4" w:space="0"/>
              <w:left w:val="nil"/>
              <w:bottom w:val="single" w:color="auto" w:sz="4" w:space="0"/>
              <w:right w:val="single" w:color="auto" w:sz="4" w:space="0"/>
            </w:tcBorders>
            <w:noWrap w:val="0"/>
            <w:vAlign w:val="center"/>
          </w:tcPr>
          <w:p w14:paraId="578A6A3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r>
      <w:tr w14:paraId="0C4A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4729E7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r>
              <w:rPr>
                <w:rFonts w:hint="default" w:ascii="Times New Roman" w:hAnsi="Times New Roman" w:eastAsia="仿宋_GB2312" w:cs="Times New Roman"/>
                <w:i w:val="0"/>
                <w:color w:val="000000"/>
                <w:kern w:val="0"/>
                <w:sz w:val="24"/>
                <w:szCs w:val="24"/>
                <w:u w:val="none"/>
                <w:lang w:val="en-US" w:eastAsia="zh-CN" w:bidi="ar"/>
              </w:rPr>
              <w:t>5</w:t>
            </w:r>
          </w:p>
        </w:tc>
        <w:tc>
          <w:tcPr>
            <w:tcW w:w="1124" w:type="dxa"/>
            <w:tcBorders>
              <w:top w:val="single" w:color="auto" w:sz="4" w:space="0"/>
              <w:left w:val="nil"/>
              <w:bottom w:val="single" w:color="auto" w:sz="4" w:space="0"/>
              <w:right w:val="single" w:color="auto" w:sz="4" w:space="0"/>
            </w:tcBorders>
            <w:noWrap w:val="0"/>
            <w:vAlign w:val="center"/>
          </w:tcPr>
          <w:p w14:paraId="39441E6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2A33891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2C10F2C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14:paraId="221F5D4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960" w:type="dxa"/>
            <w:tcBorders>
              <w:top w:val="single" w:color="auto" w:sz="4" w:space="0"/>
              <w:left w:val="nil"/>
              <w:bottom w:val="single" w:color="auto" w:sz="4" w:space="0"/>
              <w:right w:val="single" w:color="auto" w:sz="4" w:space="0"/>
            </w:tcBorders>
            <w:noWrap w:val="0"/>
            <w:vAlign w:val="center"/>
          </w:tcPr>
          <w:p w14:paraId="3CBC1F1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438" w:type="dxa"/>
            <w:tcBorders>
              <w:top w:val="single" w:color="auto" w:sz="4" w:space="0"/>
              <w:left w:val="nil"/>
              <w:bottom w:val="single" w:color="auto" w:sz="4" w:space="0"/>
              <w:right w:val="single" w:color="auto" w:sz="4" w:space="0"/>
            </w:tcBorders>
            <w:noWrap w:val="0"/>
            <w:vAlign w:val="center"/>
          </w:tcPr>
          <w:p w14:paraId="05BD6FC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r>
      <w:tr w14:paraId="40793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373F3C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r>
              <w:rPr>
                <w:rFonts w:hint="default" w:ascii="Times New Roman" w:hAnsi="Times New Roman" w:eastAsia="仿宋_GB2312" w:cs="Times New Roman"/>
                <w:i w:val="0"/>
                <w:color w:val="000000"/>
                <w:kern w:val="0"/>
                <w:sz w:val="24"/>
                <w:szCs w:val="24"/>
                <w:u w:val="none"/>
                <w:lang w:val="en-US" w:eastAsia="zh-CN" w:bidi="ar"/>
              </w:rPr>
              <w:t>6</w:t>
            </w:r>
          </w:p>
        </w:tc>
        <w:tc>
          <w:tcPr>
            <w:tcW w:w="1124" w:type="dxa"/>
            <w:tcBorders>
              <w:top w:val="single" w:color="auto" w:sz="4" w:space="0"/>
              <w:left w:val="nil"/>
              <w:bottom w:val="single" w:color="auto" w:sz="4" w:space="0"/>
              <w:right w:val="single" w:color="auto" w:sz="4" w:space="0"/>
            </w:tcBorders>
            <w:noWrap w:val="0"/>
            <w:vAlign w:val="center"/>
          </w:tcPr>
          <w:p w14:paraId="3E5E7CC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731C128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795" w:type="dxa"/>
            <w:tcBorders>
              <w:top w:val="single" w:color="auto" w:sz="4" w:space="0"/>
              <w:left w:val="nil"/>
              <w:bottom w:val="single" w:color="auto" w:sz="4" w:space="0"/>
              <w:right w:val="single" w:color="auto" w:sz="4" w:space="0"/>
            </w:tcBorders>
            <w:noWrap w:val="0"/>
            <w:vAlign w:val="center"/>
          </w:tcPr>
          <w:p w14:paraId="6C81835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890" w:type="dxa"/>
            <w:tcBorders>
              <w:top w:val="single" w:color="auto" w:sz="4" w:space="0"/>
              <w:left w:val="single" w:color="auto" w:sz="4" w:space="0"/>
              <w:bottom w:val="single" w:color="auto" w:sz="4" w:space="0"/>
              <w:right w:val="single" w:color="auto" w:sz="4" w:space="0"/>
            </w:tcBorders>
            <w:noWrap w:val="0"/>
            <w:vAlign w:val="center"/>
          </w:tcPr>
          <w:p w14:paraId="06650A8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960" w:type="dxa"/>
            <w:tcBorders>
              <w:top w:val="single" w:color="auto" w:sz="4" w:space="0"/>
              <w:left w:val="nil"/>
              <w:bottom w:val="single" w:color="auto" w:sz="4" w:space="0"/>
              <w:right w:val="single" w:color="auto" w:sz="4" w:space="0"/>
            </w:tcBorders>
            <w:noWrap w:val="0"/>
            <w:vAlign w:val="center"/>
          </w:tcPr>
          <w:p w14:paraId="4477346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c>
          <w:tcPr>
            <w:tcW w:w="1438" w:type="dxa"/>
            <w:tcBorders>
              <w:top w:val="single" w:color="auto" w:sz="4" w:space="0"/>
              <w:left w:val="nil"/>
              <w:bottom w:val="single" w:color="auto" w:sz="4" w:space="0"/>
              <w:right w:val="single" w:color="auto" w:sz="4" w:space="0"/>
            </w:tcBorders>
            <w:noWrap w:val="0"/>
            <w:vAlign w:val="center"/>
          </w:tcPr>
          <w:p w14:paraId="13EFEAA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i w:val="0"/>
                <w:color w:val="000000"/>
                <w:kern w:val="0"/>
                <w:sz w:val="24"/>
                <w:szCs w:val="24"/>
                <w:u w:val="none"/>
                <w:lang w:val="en-US" w:eastAsia="zh-CN" w:bidi="ar"/>
              </w:rPr>
            </w:pPr>
          </w:p>
        </w:tc>
      </w:tr>
    </w:tbl>
    <w:p w14:paraId="426A8EF2">
      <w:pPr>
        <w:keepNext w:val="0"/>
        <w:keepLines w:val="0"/>
        <w:pageBreakBefore w:val="0"/>
        <w:widowControl w:val="0"/>
        <w:shd w:val="clear" w:color="auto" w:fill="FFFFFF"/>
        <w:kinsoku/>
        <w:wordWrap/>
        <w:overflowPunct/>
        <w:topLinePunct w:val="0"/>
        <w:autoSpaceDE/>
        <w:autoSpaceDN/>
        <w:bidi w:val="0"/>
        <w:adjustRightInd/>
        <w:snapToGrid w:val="0"/>
        <w:spacing w:line="900" w:lineRule="exact"/>
        <w:rPr>
          <w:rFonts w:hint="eastAsia"/>
          <w:sz w:val="32"/>
          <w:szCs w:val="32"/>
          <w:lang w:val="en-US" w:eastAsia="zh-CN"/>
        </w:rPr>
      </w:pPr>
    </w:p>
    <w:p w14:paraId="0E8BB94E">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0B327DDD">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62EDCF95">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731CE4BE">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48AE20C6">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6FC19B70">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1A2B8171">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0A7F01C5">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3087FE81">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2753758E">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7AA24572">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071FEE96">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黔东南州第十一届运动会暨第五届少数民族传统体育运动会赛风赛纪和反兴奋剂保证书</w:t>
      </w:r>
    </w:p>
    <w:p w14:paraId="7A121C4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1EA5D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27C83F7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6017B67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19703C9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D677E8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3CB0B59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47B71FB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187BC3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7D2AC9AC">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sectPr>
      <w:footerReference r:id="rId3" w:type="default"/>
      <w:pgSz w:w="11906" w:h="16838"/>
      <w:pgMar w:top="1440" w:right="1236" w:bottom="1157"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C0AC1">
    <w:pPr>
      <w:pStyle w:val="2"/>
      <w:tabs>
        <w:tab w:val="center" w:pos="4140"/>
        <w:tab w:val="right" w:pos="8300"/>
      </w:tabs>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A448428">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1A448428">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E33E5"/>
    <w:rsid w:val="00C842D2"/>
    <w:rsid w:val="02373088"/>
    <w:rsid w:val="02902451"/>
    <w:rsid w:val="029E63B0"/>
    <w:rsid w:val="02EF2BAC"/>
    <w:rsid w:val="03A60E8E"/>
    <w:rsid w:val="03F12712"/>
    <w:rsid w:val="042A1D8A"/>
    <w:rsid w:val="04BF735A"/>
    <w:rsid w:val="04D33B57"/>
    <w:rsid w:val="04DA1924"/>
    <w:rsid w:val="076D699F"/>
    <w:rsid w:val="08556A79"/>
    <w:rsid w:val="08B92770"/>
    <w:rsid w:val="09904A32"/>
    <w:rsid w:val="0C175FAD"/>
    <w:rsid w:val="0C2F026C"/>
    <w:rsid w:val="0EEC02F3"/>
    <w:rsid w:val="0F8442E8"/>
    <w:rsid w:val="11493232"/>
    <w:rsid w:val="1253133E"/>
    <w:rsid w:val="13F20576"/>
    <w:rsid w:val="14F04D54"/>
    <w:rsid w:val="150F2FC4"/>
    <w:rsid w:val="15154738"/>
    <w:rsid w:val="161D6ABD"/>
    <w:rsid w:val="187728D3"/>
    <w:rsid w:val="19233A38"/>
    <w:rsid w:val="193E03C3"/>
    <w:rsid w:val="19EA5149"/>
    <w:rsid w:val="1A7345DA"/>
    <w:rsid w:val="1C66581E"/>
    <w:rsid w:val="1CA8216C"/>
    <w:rsid w:val="1E5773FB"/>
    <w:rsid w:val="1E7F39EB"/>
    <w:rsid w:val="1EED4F51"/>
    <w:rsid w:val="1F9B541D"/>
    <w:rsid w:val="20D551DA"/>
    <w:rsid w:val="22D66FD7"/>
    <w:rsid w:val="24157FE0"/>
    <w:rsid w:val="25CA0F76"/>
    <w:rsid w:val="271D3304"/>
    <w:rsid w:val="28494789"/>
    <w:rsid w:val="2871439D"/>
    <w:rsid w:val="289F15C5"/>
    <w:rsid w:val="2AA853AC"/>
    <w:rsid w:val="2ADC5AF1"/>
    <w:rsid w:val="2BC434B1"/>
    <w:rsid w:val="2BFE3E07"/>
    <w:rsid w:val="2C304ABE"/>
    <w:rsid w:val="2C540901"/>
    <w:rsid w:val="2D671757"/>
    <w:rsid w:val="2F235637"/>
    <w:rsid w:val="32034C41"/>
    <w:rsid w:val="32BC2E43"/>
    <w:rsid w:val="33437FFE"/>
    <w:rsid w:val="336E46DF"/>
    <w:rsid w:val="339D1894"/>
    <w:rsid w:val="33A32E7E"/>
    <w:rsid w:val="33B4197D"/>
    <w:rsid w:val="38167AAE"/>
    <w:rsid w:val="39C32F0D"/>
    <w:rsid w:val="3A842294"/>
    <w:rsid w:val="3AFC23B7"/>
    <w:rsid w:val="3B49583D"/>
    <w:rsid w:val="3C8854C7"/>
    <w:rsid w:val="3E0D6F69"/>
    <w:rsid w:val="3F4839E9"/>
    <w:rsid w:val="3F591FBB"/>
    <w:rsid w:val="4027710A"/>
    <w:rsid w:val="40E45565"/>
    <w:rsid w:val="427A5C2D"/>
    <w:rsid w:val="432B3B11"/>
    <w:rsid w:val="45815842"/>
    <w:rsid w:val="470F65B2"/>
    <w:rsid w:val="48364FF7"/>
    <w:rsid w:val="48A16A1E"/>
    <w:rsid w:val="48CD62C7"/>
    <w:rsid w:val="4A8A597C"/>
    <w:rsid w:val="4B2D3D46"/>
    <w:rsid w:val="4CF656D0"/>
    <w:rsid w:val="4DAF03E0"/>
    <w:rsid w:val="4E4D2D48"/>
    <w:rsid w:val="4F0A1875"/>
    <w:rsid w:val="50F4511E"/>
    <w:rsid w:val="511C64A3"/>
    <w:rsid w:val="528E3F99"/>
    <w:rsid w:val="55144C39"/>
    <w:rsid w:val="596224C5"/>
    <w:rsid w:val="598A4141"/>
    <w:rsid w:val="5D171ABB"/>
    <w:rsid w:val="5E2269BE"/>
    <w:rsid w:val="5F5F4E16"/>
    <w:rsid w:val="612947FD"/>
    <w:rsid w:val="613525C2"/>
    <w:rsid w:val="613F1638"/>
    <w:rsid w:val="61A04BEE"/>
    <w:rsid w:val="6413767B"/>
    <w:rsid w:val="67DB47B9"/>
    <w:rsid w:val="67EA3A5F"/>
    <w:rsid w:val="68306CDC"/>
    <w:rsid w:val="68FB6307"/>
    <w:rsid w:val="69CA2CB7"/>
    <w:rsid w:val="6A3D34F5"/>
    <w:rsid w:val="6AC44632"/>
    <w:rsid w:val="6B1E3F5A"/>
    <w:rsid w:val="6BBB0AAB"/>
    <w:rsid w:val="6BD86924"/>
    <w:rsid w:val="6C097253"/>
    <w:rsid w:val="70873687"/>
    <w:rsid w:val="728A2D3D"/>
    <w:rsid w:val="751B6A9F"/>
    <w:rsid w:val="75545E73"/>
    <w:rsid w:val="75580D46"/>
    <w:rsid w:val="75C44085"/>
    <w:rsid w:val="76AA4940"/>
    <w:rsid w:val="7754274F"/>
    <w:rsid w:val="77CF234A"/>
    <w:rsid w:val="785B3057"/>
    <w:rsid w:val="78E34CB4"/>
    <w:rsid w:val="79150798"/>
    <w:rsid w:val="7B251043"/>
    <w:rsid w:val="7C3D4810"/>
    <w:rsid w:val="7D9D2137"/>
    <w:rsid w:val="7E451EC5"/>
    <w:rsid w:val="7F211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page number"/>
    <w:basedOn w:val="6"/>
    <w:qFormat/>
    <w:uiPriority w:val="0"/>
  </w:style>
  <w:style w:type="paragraph" w:customStyle="1" w:styleId="8">
    <w:name w:val="普通(网站)2"/>
    <w:basedOn w:val="1"/>
    <w:qFormat/>
    <w:uiPriority w:val="0"/>
    <w:rPr>
      <w:sz w:val="24"/>
    </w:rPr>
  </w:style>
  <w:style w:type="character" w:customStyle="1" w:styleId="9">
    <w:name w:val="font01"/>
    <w:basedOn w:val="6"/>
    <w:qFormat/>
    <w:uiPriority w:val="0"/>
    <w:rPr>
      <w:rFonts w:hint="eastAsia" w:ascii="仿宋_GB2312" w:eastAsia="仿宋_GB2312" w:cs="仿宋_GB2312"/>
      <w:color w:val="000000"/>
      <w:sz w:val="28"/>
      <w:szCs w:val="28"/>
      <w:u w:val="none"/>
    </w:rPr>
  </w:style>
  <w:style w:type="paragraph" w:customStyle="1" w:styleId="10">
    <w:name w:val="Body text|1"/>
    <w:basedOn w:val="1"/>
    <w:qFormat/>
    <w:uiPriority w:val="0"/>
    <w:pPr>
      <w:widowControl w:val="0"/>
      <w:shd w:val="clear" w:color="auto" w:fill="auto"/>
      <w:spacing w:line="401" w:lineRule="auto"/>
      <w:ind w:firstLine="400"/>
    </w:pPr>
    <w:rPr>
      <w:rFonts w:ascii="宋体" w:hAnsi="宋体" w:eastAsia="宋体" w:cs="宋体"/>
      <w:sz w:val="32"/>
      <w:szCs w:val="32"/>
      <w:u w:val="none"/>
      <w:shd w:val="clear" w:color="auto" w:fill="auto"/>
      <w:lang w:val="zh-TW" w:eastAsia="zh-TW" w:bidi="zh-TW"/>
    </w:rPr>
  </w:style>
  <w:style w:type="character" w:customStyle="1" w:styleId="11">
    <w:name w:val="NormalCharacter"/>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12">
    <w:name w:val="UserStyle_6"/>
    <w:basedOn w:val="1"/>
    <w:qFormat/>
    <w:uiPriority w:val="0"/>
    <w:pPr>
      <w:spacing w:line="430" w:lineRule="auto"/>
      <w:ind w:firstLine="400"/>
      <w:textAlignment w:val="baseline"/>
    </w:pPr>
    <w:rPr>
      <w:rFonts w:ascii="宋体" w:hAnsi="宋体"/>
      <w:color w:val="000000"/>
      <w:sz w:val="30"/>
      <w:szCs w:val="30"/>
      <w:lang w:val="zh-TW" w:eastAsia="zh-TW"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1854</Words>
  <Characters>1928</Characters>
  <Lines>0</Lines>
  <Paragraphs>0</Paragraphs>
  <TotalTime>1</TotalTime>
  <ScaleCrop>false</ScaleCrop>
  <LinksUpToDate>false</LinksUpToDate>
  <CharactersWithSpaces>2086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守望</cp:lastModifiedBy>
  <dcterms:modified xsi:type="dcterms:W3CDTF">2025-05-13T08:30:47Z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40AE75B73CE24D38988ADBE21FF62DAA_13</vt:lpwstr>
  </property>
  <property fmtid="{D5CDD505-2E9C-101B-9397-08002B2CF9AE}" pid="4" name="KSOTemplateDocerSaveRecord">
    <vt:lpwstr>eyJoZGlkIjoiNTVkOGRlNjJmODU4MWE4YWJhNmJjNDYwODI0OWM2YTkiLCJ1c2VySWQiOiIzMDY5NDc0MzAifQ==</vt:lpwstr>
  </property>
</Properties>
</file>